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69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411480</wp:posOffset>
            </wp:positionH>
            <wp:positionV relativeFrom="page">
              <wp:posOffset>868045</wp:posOffset>
            </wp:positionV>
            <wp:extent cx="6350635" cy="222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635" cy="2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411480</wp:posOffset>
            </wp:positionH>
            <wp:positionV relativeFrom="page">
              <wp:posOffset>911860</wp:posOffset>
            </wp:positionV>
            <wp:extent cx="6350635" cy="222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635" cy="2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UNITED STATES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SECURITIES AND EXCHANGE COMMISSION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Washington, D.C. 20549</w:t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Form 6-K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Report of Foreign Private Issuer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Pursuant to Rule 13a-16 or 15d-16 under the Securities Exchange Act of 1934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For the month of April 2026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Commission File Number 001-37626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7"/>
          <w:szCs w:val="37"/>
          <w:b w:val="1"/>
          <w:bCs w:val="1"/>
          <w:color w:val="auto"/>
        </w:rPr>
        <w:t>Mesoblast Limited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(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auto"/>
        </w:rPr>
        <w:t>Exact name of Registrant as specified in its charter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)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Not Applicable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(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auto"/>
        </w:rPr>
        <w:t>Translation of Registrant’s name into English)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Australia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(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auto"/>
        </w:rPr>
        <w:t>Jurisdiction of incorporation or organization)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Silviu Itescu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Chief Executive Officer and Executive Director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Level 38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55 Collins Street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Melbourne 3000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Australia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(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auto"/>
        </w:rPr>
        <w:t>Address of principal executive offices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)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Indicate by check mark whether the registrant files or will file annual reports under cover Form 20-F or Form 40-F: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 w:line="173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Form 20-F </w:t>
      </w:r>
      <w:r>
        <w:rPr>
          <w:rFonts w:ascii="MS PGothic" w:cs="MS PGothic" w:eastAsia="MS PGothic" w:hAnsi="MS PGothic"/>
          <w:sz w:val="15"/>
          <w:szCs w:val="15"/>
          <w:color w:val="auto"/>
        </w:rPr>
        <w:t>☑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Form 40-F </w:t>
      </w:r>
      <w:r>
        <w:rPr>
          <w:rFonts w:ascii="MS PGothic" w:cs="MS PGothic" w:eastAsia="MS PGothic" w:hAnsi="MS PGothic"/>
          <w:sz w:val="15"/>
          <w:szCs w:val="15"/>
          <w:color w:val="auto"/>
        </w:rPr>
        <w:t>☐</w:t>
      </w:r>
    </w:p>
    <w:p>
      <w:pPr>
        <w:sectPr>
          <w:pgSz w:w="11900" w:h="16838" w:orient="portrait"/>
          <w:cols w:equalWidth="0" w:num="1">
            <w:col w:w="9019"/>
          </w:cols>
          <w:pgMar w:left="1440" w:top="1440" w:right="1440" w:bottom="1440" w:gutter="0" w:footer="0" w:header="0"/>
        </w:sectPr>
      </w:pPr>
    </w:p>
    <w:bookmarkStart w:id="1" w:name="page2"/>
    <w:bookmarkEnd w:id="1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INFORMATION CONTAINED ON THIS REPORT ON FORM 6-K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 w:line="29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On April 15, 2026, Mesoblast Limited filed with the Australian Securities Exchange a new release announcement, which is attached hereto as </w:t>
      </w:r>
      <w:r>
        <w:rPr>
          <w:rFonts w:ascii="Times New Roman" w:cs="Times New Roman" w:eastAsia="Times New Roman" w:hAnsi="Times New Roman"/>
          <w:sz w:val="15"/>
          <w:szCs w:val="15"/>
          <w:u w:val="single" w:color="auto"/>
          <w:color w:val="auto"/>
        </w:rPr>
        <w:t>Exhibit 99.1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, and is incorporated herein by reference.</w:t>
      </w:r>
    </w:p>
    <w:p>
      <w:pPr>
        <w:sectPr>
          <w:pgSz w:w="11900" w:h="16838" w:orient="portrait"/>
          <w:cols w:equalWidth="0" w:num="1">
            <w:col w:w="11240"/>
          </w:cols>
          <w:pgMar w:left="320" w:top="1232" w:right="33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SIGNATURES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Pursuant to the requirements of the Securities Exchange Act of 1934, the registrant has duly caused this report to be signed on its behalf by the undersigned, thereunto duly organized.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Mesoblast Limited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/s/ Paul Hughes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Paul Hughes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auto"/>
        </w:rPr>
        <w:t>Company Secretary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Dated: April 15, 2026</w:t>
      </w:r>
    </w:p>
    <w:p>
      <w:pPr>
        <w:sectPr>
          <w:pgSz w:w="11900" w:h="16838" w:orient="portrait"/>
          <w:cols w:equalWidth="0" w:num="1">
            <w:col w:w="11240"/>
          </w:cols>
          <w:pgMar w:left="320" w:top="1232" w:right="339" w:bottom="1440" w:gutter="0" w:footer="0" w:header="0"/>
        </w:sectPr>
      </w:pPr>
    </w:p>
    <w:bookmarkStart w:id="3" w:name="page4"/>
    <w:bookmarkEnd w:id="3"/>
    <w:p>
      <w:pPr>
        <w:jc w:val="right"/>
        <w:ind w:right="37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INDEX TO EXHIBITS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Item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ind w:left="40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Press release of Mesoblast Ltd, dated April 15, 2026.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-3810</wp:posOffset>
            </wp:positionV>
            <wp:extent cx="195580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8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232" w:right="1440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323850</wp:posOffset>
            </wp:positionV>
            <wp:extent cx="7090410" cy="10190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0190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jpeg"/><Relationship Id="rId13" Type="http://schemas.openxmlformats.org/officeDocument/2006/relationships/image" Target="media/image6.png"/><Relationship Id="rId14" Type="http://schemas.openxmlformats.org/officeDocument/2006/relationships/image" Target="media/image7.jpe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2026-04-15T08:13:31Z</dcterms:created>
  <dcterms:modified xsi:type="dcterms:W3CDTF">2026-04-15T08:13:31Z</dcterms:modified>
</cp:coreProperties>
</file>